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8A82C" w14:textId="77777777" w:rsidR="00BE7708" w:rsidRDefault="00BE7708" w:rsidP="00BE7708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Raleway" w:hAnsi="Raleway"/>
          <w:spacing w:val="2"/>
        </w:rPr>
      </w:pPr>
      <w:r>
        <w:rPr>
          <w:rFonts w:ascii="Raleway" w:hAnsi="Raleway"/>
          <w:spacing w:val="2"/>
        </w:rPr>
        <w:t>O Ministério da Energia da Guiné-Bissau é o departamento governamental responsável por formular e implementar a estratégia nacional para o setor energético. Num momento de transformação histórica, o Ministério foca a sua atuação na transição de um modelo de dependência fóssil para uma matriz energética diversificada, moderna e resiliente.</w:t>
      </w:r>
    </w:p>
    <w:p w14:paraId="2B0885F7" w14:textId="77777777" w:rsidR="00BE7708" w:rsidRDefault="00BE7708" w:rsidP="00BE770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Raleway" w:hAnsi="Raleway"/>
          <w:spacing w:val="2"/>
        </w:rPr>
      </w:pPr>
      <w:r>
        <w:rPr>
          <w:rFonts w:ascii="Raleway" w:hAnsi="Raleway"/>
          <w:spacing w:val="2"/>
        </w:rPr>
        <w:t>A nossa atuação é guiada pela necessidade urgente de universalizar o acesso à eletricidade. Atualmente, com uma taxa de acesso nacional de 35,8%, o Ministério trabalha arduamente para reduzir as assimetrias entre Bissau (90,2% de cobertura) e as zonas rurais, garantindo que a energia chegue a cada tabanca e cada negócio do país.</w:t>
      </w:r>
    </w:p>
    <w:p w14:paraId="3020AB19" w14:textId="77777777" w:rsidR="003B16CF" w:rsidRDefault="003B16CF"/>
    <w:sectPr w:rsidR="003B16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oppins">
    <w:panose1 w:val="00000800000000000000"/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3DC"/>
    <w:rsid w:val="003B16CF"/>
    <w:rsid w:val="004F63DC"/>
    <w:rsid w:val="00BE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D73C5E-AE9C-485B-B910-401AFBA9D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oppins" w:eastAsiaTheme="minorHAnsi" w:hAnsi="Poppins" w:cs="Poppin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7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25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Malam Samate</dc:creator>
  <cp:keywords/>
  <dc:description/>
  <cp:lastModifiedBy>Malam Samate</cp:lastModifiedBy>
  <cp:revision>3</cp:revision>
  <dcterms:created xsi:type="dcterms:W3CDTF">2026-03-01T03:03:00Z</dcterms:created>
  <dcterms:modified xsi:type="dcterms:W3CDTF">2026-03-01T03:03:00Z</dcterms:modified>
</cp:coreProperties>
</file>